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4E7C" w14:textId="77777777" w:rsidR="00B67616" w:rsidRDefault="00B67616" w:rsidP="00B67616">
      <w:pPr>
        <w:jc w:val="center"/>
        <w:rPr>
          <w:rFonts w:cs="Traditional Arabic"/>
          <w:b/>
          <w:bCs/>
          <w:sz w:val="40"/>
          <w:szCs w:val="40"/>
          <w:rtl/>
          <w:lang w:bidi="ar-DZ"/>
        </w:rPr>
      </w:pPr>
    </w:p>
    <w:p w14:paraId="169BB527" w14:textId="77777777" w:rsidR="00B67616" w:rsidRDefault="00B67616" w:rsidP="00B67616">
      <w:pPr>
        <w:tabs>
          <w:tab w:val="left" w:pos="5811"/>
        </w:tabs>
        <w:bidi/>
        <w:jc w:val="center"/>
        <w:rPr>
          <w:rFonts w:cs="Traditional Arabic"/>
          <w:b/>
          <w:bCs/>
          <w:sz w:val="32"/>
          <w:szCs w:val="32"/>
          <w:rtl/>
          <w:lang w:bidi="ar-DZ"/>
        </w:rPr>
      </w:pPr>
      <w:r>
        <w:rPr>
          <w:rFonts w:cs="Traditional Arabic"/>
          <w:b/>
          <w:bCs/>
          <w:sz w:val="32"/>
          <w:szCs w:val="32"/>
          <w:rtl/>
          <w:lang w:bidi="ar-DZ"/>
        </w:rPr>
        <w:t>كلية الحقوق والعلوم السياسية.</w:t>
      </w:r>
    </w:p>
    <w:p w14:paraId="6E81654B" w14:textId="77777777" w:rsidR="00B67616" w:rsidRDefault="00B67616" w:rsidP="00B67616">
      <w:pPr>
        <w:bidi/>
        <w:jc w:val="center"/>
        <w:rPr>
          <w:rFonts w:ascii="Sakkal Majalla" w:hAnsi="Sakkal Majalla" w:cs="Sakkal Majalla"/>
          <w:sz w:val="72"/>
          <w:szCs w:val="72"/>
          <w:rtl/>
          <w:lang w:bidi="ar-DZ"/>
        </w:rPr>
      </w:pPr>
      <w:bookmarkStart w:id="0" w:name="_Hlk135666095"/>
      <w:r>
        <w:rPr>
          <w:rFonts w:cs="Traditional Arabic"/>
          <w:b/>
          <w:bCs/>
          <w:sz w:val="32"/>
          <w:szCs w:val="32"/>
          <w:rtl/>
          <w:lang w:bidi="ar-DZ"/>
        </w:rPr>
        <w:t>قسم الحقوق</w:t>
      </w:r>
    </w:p>
    <w:bookmarkEnd w:id="0"/>
    <w:p w14:paraId="7517DD10" w14:textId="77777777" w:rsidR="00B67616" w:rsidRDefault="00B67616" w:rsidP="00B67616">
      <w:pPr>
        <w:bidi/>
        <w:rPr>
          <w:rFonts w:ascii="Sakkal Majalla" w:hAnsi="Sakkal Majalla" w:cs="Sakkal Majalla"/>
          <w:sz w:val="72"/>
          <w:szCs w:val="72"/>
          <w:rtl/>
          <w:lang w:bidi="ar-DZ"/>
        </w:rPr>
      </w:pPr>
      <w:r>
        <w:rPr>
          <w:rFonts w:cs="Traditional Arabic"/>
          <w:b/>
          <w:bCs/>
          <w:sz w:val="32"/>
          <w:szCs w:val="32"/>
          <w:rtl/>
          <w:lang w:bidi="ar-DZ"/>
        </w:rPr>
        <w:t>السنة الثالثة                                                                                تخصص: قانون خاص</w:t>
      </w:r>
    </w:p>
    <w:p w14:paraId="2F88A187" w14:textId="77777777" w:rsidR="00B67616" w:rsidRDefault="00B67616" w:rsidP="00B67616">
      <w:pPr>
        <w:bidi/>
        <w:jc w:val="center"/>
        <w:rPr>
          <w:rFonts w:ascii="Sakkal Majalla" w:hAnsi="Sakkal Majalla" w:cs="Sakkal Majalla"/>
          <w:sz w:val="44"/>
          <w:szCs w:val="44"/>
          <w:rtl/>
          <w:lang w:bidi="ar-DZ"/>
        </w:rPr>
      </w:pPr>
    </w:p>
    <w:p w14:paraId="27A9957B" w14:textId="71B5301A" w:rsidR="00B67616" w:rsidRDefault="00B67616" w:rsidP="00B67616">
      <w:pPr>
        <w:bidi/>
        <w:jc w:val="center"/>
        <w:rPr>
          <w:rFonts w:ascii="Sakkal Majalla" w:hAnsi="Sakkal Majalla" w:cs="Sakkal Majalla"/>
          <w:sz w:val="44"/>
          <w:szCs w:val="44"/>
          <w:lang w:bidi="ar-DZ"/>
        </w:rPr>
      </w:pPr>
      <w:r>
        <w:rPr>
          <w:rFonts w:ascii="Sakkal Majalla" w:hAnsi="Sakkal Majalla" w:cs="Sakkal Majalla" w:hint="cs"/>
          <w:sz w:val="44"/>
          <w:szCs w:val="44"/>
          <w:u w:val="single"/>
          <w:rtl/>
          <w:lang w:bidi="ar-DZ"/>
        </w:rPr>
        <w:t>الإجابة النموذجية لا</w:t>
      </w:r>
      <w:r>
        <w:rPr>
          <w:rFonts w:ascii="Sakkal Majalla" w:hAnsi="Sakkal Majalla" w:cs="Sakkal Majalla"/>
          <w:sz w:val="44"/>
          <w:szCs w:val="44"/>
          <w:u w:val="single"/>
          <w:rtl/>
          <w:lang w:bidi="ar-DZ"/>
        </w:rPr>
        <w:t xml:space="preserve">متحان </w:t>
      </w:r>
      <w:r>
        <w:rPr>
          <w:rFonts w:ascii="Sakkal Majalla" w:hAnsi="Sakkal Majalla" w:cs="Sakkal Majalla" w:hint="cs"/>
          <w:sz w:val="44"/>
          <w:szCs w:val="44"/>
          <w:u w:val="single"/>
          <w:rtl/>
          <w:lang w:bidi="ar-DZ"/>
        </w:rPr>
        <w:t>السداسي الأول</w:t>
      </w:r>
      <w:r>
        <w:rPr>
          <w:rFonts w:ascii="Sakkal Majalla" w:hAnsi="Sakkal Majalla" w:cs="Sakkal Majalla"/>
          <w:sz w:val="44"/>
          <w:szCs w:val="44"/>
          <w:u w:val="single"/>
          <w:rtl/>
          <w:lang w:bidi="ar-DZ"/>
        </w:rPr>
        <w:t xml:space="preserve"> مادة: القانون الدولي الخاص </w:t>
      </w:r>
      <w:r>
        <w:rPr>
          <w:rFonts w:ascii="Sakkal Majalla" w:hAnsi="Sakkal Majalla" w:cs="Sakkal Majalla" w:hint="cs"/>
          <w:sz w:val="44"/>
          <w:szCs w:val="44"/>
          <w:u w:val="single"/>
          <w:rtl/>
          <w:lang w:bidi="ar-DZ"/>
        </w:rPr>
        <w:t>1</w:t>
      </w:r>
      <w:r>
        <w:rPr>
          <w:rFonts w:ascii="Sakkal Majalla" w:hAnsi="Sakkal Majalla" w:cs="Sakkal Majalla"/>
          <w:sz w:val="44"/>
          <w:szCs w:val="44"/>
          <w:rtl/>
          <w:lang w:bidi="ar-DZ"/>
        </w:rPr>
        <w:t>.</w:t>
      </w:r>
    </w:p>
    <w:p w14:paraId="0186151C" w14:textId="77777777" w:rsidR="00017281" w:rsidRDefault="00017281" w:rsidP="00017281">
      <w:pPr>
        <w:bidi/>
        <w:jc w:val="center"/>
        <w:rPr>
          <w:rFonts w:ascii="Sakkal Majalla" w:hAnsi="Sakkal Majalla" w:cs="Sakkal Majalla"/>
          <w:sz w:val="44"/>
          <w:szCs w:val="44"/>
          <w:rtl/>
          <w:lang w:bidi="ar-DZ"/>
        </w:rPr>
      </w:pPr>
    </w:p>
    <w:p w14:paraId="197DCC13" w14:textId="32FC9036" w:rsidR="00B67616" w:rsidRDefault="00B67616" w:rsidP="00B6761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sz w:val="52"/>
          <w:szCs w:val="52"/>
          <w:rtl/>
          <w:lang w:bidi="ar-DZ"/>
        </w:rPr>
        <w:t xml:space="preserve">   </w:t>
      </w:r>
      <w:bookmarkStart w:id="1" w:name="_Hlk135694213"/>
      <w:r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>الإجابة على ا</w:t>
      </w:r>
      <w:r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لسؤال الأول:</w:t>
      </w:r>
      <w:r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( 6ن) </w:t>
      </w:r>
      <w:bookmarkStart w:id="2" w:name="_Hlk135694256"/>
      <w:bookmarkEnd w:id="1"/>
      <w:r>
        <w:rPr>
          <w:rFonts w:ascii="Sakkal Majalla" w:hAnsi="Sakkal Majalla" w:cs="Sakkal Majalla"/>
          <w:sz w:val="32"/>
          <w:szCs w:val="32"/>
          <w:rtl/>
          <w:lang w:bidi="ar-DZ"/>
        </w:rPr>
        <w:t>أجب بنعم أو لا مع التعليل على ما يلي</w:t>
      </w:r>
      <w:bookmarkEnd w:id="2"/>
      <w:r>
        <w:rPr>
          <w:rFonts w:ascii="Sakkal Majalla" w:hAnsi="Sakkal Majalla" w:cs="Sakkal Majalla"/>
          <w:sz w:val="32"/>
          <w:szCs w:val="32"/>
          <w:rtl/>
          <w:lang w:bidi="ar-DZ"/>
        </w:rPr>
        <w:t>:</w:t>
      </w:r>
    </w:p>
    <w:p w14:paraId="0A0AAEC0" w14:textId="223F8426" w:rsidR="00B67616" w:rsidRDefault="00B67616" w:rsidP="00B67616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لا يكون التكييف الا في التنازع الايجابي للقوانين دون التنازع السلبي. </w:t>
      </w:r>
      <w:r w:rsidRPr="00B6761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ل</w:t>
      </w:r>
      <w:r w:rsidRPr="00B67616">
        <w:rPr>
          <w:rFonts w:ascii="Sakkal Majalla" w:hAnsi="Sakkal Majalla" w:cs="Sakkal Majalla" w:hint="eastAsia"/>
          <w:b/>
          <w:bCs/>
          <w:sz w:val="32"/>
          <w:szCs w:val="32"/>
          <w:rtl/>
          <w:lang w:bidi="ar-DZ"/>
        </w:rPr>
        <w:t>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فالتكييف مسألة أولية لازمة لمعرفة القانون الواجب التطبيق، أي قبل معرفة نوع التنازع المثار ما ان كان إيجابيا أو سلبيا.</w:t>
      </w:r>
    </w:p>
    <w:p w14:paraId="56DEB7EB" w14:textId="131800F3" w:rsidR="00B67616" w:rsidRDefault="00B67616" w:rsidP="00B67616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ترتبط الإحالة في غالب الحالات بالتنازع السلبي للقوانين</w:t>
      </w:r>
      <w:r>
        <w:rPr>
          <w:rFonts w:ascii="Sakkal Majalla" w:hAnsi="Sakkal Majalla" w:cs="Sakkal Majalla"/>
          <w:sz w:val="32"/>
          <w:szCs w:val="32"/>
          <w:rtl/>
          <w:lang w:bidi="ar-DZ"/>
        </w:rPr>
        <w:t xml:space="preserve">. </w:t>
      </w:r>
      <w:r w:rsidRPr="00B6761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لا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فالإحالة ترتبط في كل الحالات بالتنازع السلبي للقوانين. </w:t>
      </w:r>
    </w:p>
    <w:p w14:paraId="394286BE" w14:textId="53E8ABB0" w:rsidR="00B67616" w:rsidRDefault="00B67616" w:rsidP="00B67616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القاعدة العامة أن القانون الجزائري يعامل القانون الأجنبي معاملة القانون. </w:t>
      </w:r>
      <w:r w:rsidRPr="00B6761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لا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فالقاعدة العامة أن القانون الجزائري يعامل القانون الأجنبي معاملة الوقائع الا ما تعلق منه بشؤون الاسرة.</w:t>
      </w:r>
    </w:p>
    <w:p w14:paraId="4837EEBB" w14:textId="79744707" w:rsidR="00B67616" w:rsidRPr="003E4F93" w:rsidRDefault="00B67616" w:rsidP="00B67616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يرتبط الغش نحو القانون بالتنازع المتحرك للقوانين دون التنازع الثابت، ويمتد جزاؤه في الأعمال المادية، ليشمل الغاية والوسيلة معا. </w:t>
      </w:r>
      <w:r w:rsidRPr="00B6761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لا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فالغش نحو القانون يرتبط </w:t>
      </w:r>
      <w:r w:rsidR="009508F3">
        <w:rPr>
          <w:rFonts w:ascii="Sakkal Majalla" w:hAnsi="Sakkal Majalla" w:cs="Sakkal Majalla" w:hint="cs"/>
          <w:sz w:val="32"/>
          <w:szCs w:val="32"/>
          <w:rtl/>
          <w:lang w:bidi="ar-DZ"/>
        </w:rPr>
        <w:t>بنوعي التنازع الثابت والمتحرك، ويقتصر جزاؤه في الاعمال المادية على الغاية دون الوسيلة.</w:t>
      </w:r>
    </w:p>
    <w:p w14:paraId="24CE4F41" w14:textId="0E24A383" w:rsidR="00B67616" w:rsidRDefault="009508F3" w:rsidP="00B67616">
      <w:pPr>
        <w:bidi/>
        <w:jc w:val="mediumKashida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bookmarkStart w:id="3" w:name="_Hlk135694910"/>
      <w:r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 xml:space="preserve">الإجابة على </w:t>
      </w:r>
      <w:r w:rsidR="00B67616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السؤال الثاني:</w:t>
      </w:r>
      <w:r w:rsidR="00B67616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( 8ن) </w:t>
      </w:r>
    </w:p>
    <w:p w14:paraId="71906A10" w14:textId="77777777" w:rsidR="009508F3" w:rsidRDefault="009508F3" w:rsidP="009508F3">
      <w:pPr>
        <w:bidi/>
        <w:jc w:val="mediumKashida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tbl>
      <w:tblPr>
        <w:tblStyle w:val="Grilledutableau"/>
        <w:bidiVisual/>
        <w:tblW w:w="9080" w:type="dxa"/>
        <w:tblLook w:val="04A0" w:firstRow="1" w:lastRow="0" w:firstColumn="1" w:lastColumn="0" w:noHBand="0" w:noVBand="1"/>
      </w:tblPr>
      <w:tblGrid>
        <w:gridCol w:w="2549"/>
        <w:gridCol w:w="3977"/>
        <w:gridCol w:w="13"/>
        <w:gridCol w:w="2541"/>
      </w:tblGrid>
      <w:tr w:rsidR="009508F3" w14:paraId="76F23652" w14:textId="77777777" w:rsidTr="0073743E">
        <w:trPr>
          <w:trHeight w:val="574"/>
        </w:trPr>
        <w:tc>
          <w:tcPr>
            <w:tcW w:w="2549" w:type="dxa"/>
          </w:tcPr>
          <w:p w14:paraId="4A85C406" w14:textId="26C5B1EA" w:rsid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6"/>
                <w:szCs w:val="36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6"/>
                <w:szCs w:val="36"/>
                <w:rtl/>
                <w:lang w:bidi="ar-DZ"/>
              </w:rPr>
              <w:t>مسائل التنازع</w:t>
            </w:r>
          </w:p>
        </w:tc>
        <w:tc>
          <w:tcPr>
            <w:tcW w:w="3977" w:type="dxa"/>
          </w:tcPr>
          <w:p w14:paraId="08BE057B" w14:textId="07008D84" w:rsid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6"/>
                <w:szCs w:val="36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6"/>
                <w:szCs w:val="36"/>
                <w:rtl/>
                <w:lang w:bidi="ar-DZ"/>
              </w:rPr>
              <w:t xml:space="preserve">  القانون الواجب التطبيق</w:t>
            </w:r>
          </w:p>
        </w:tc>
        <w:tc>
          <w:tcPr>
            <w:tcW w:w="2554" w:type="dxa"/>
            <w:gridSpan w:val="2"/>
          </w:tcPr>
          <w:p w14:paraId="7CE4F75A" w14:textId="69EF2733" w:rsid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6"/>
                <w:szCs w:val="36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6"/>
                <w:szCs w:val="36"/>
                <w:rtl/>
                <w:lang w:bidi="ar-DZ"/>
              </w:rPr>
              <w:t>الأساس القانوني</w:t>
            </w:r>
          </w:p>
        </w:tc>
      </w:tr>
      <w:tr w:rsidR="009508F3" w14:paraId="19FEDB05" w14:textId="77777777" w:rsidTr="0073743E">
        <w:trPr>
          <w:trHeight w:val="585"/>
        </w:trPr>
        <w:tc>
          <w:tcPr>
            <w:tcW w:w="2549" w:type="dxa"/>
          </w:tcPr>
          <w:p w14:paraId="451AE718" w14:textId="3C8EE07F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الزواج المختلط</w:t>
            </w:r>
          </w:p>
        </w:tc>
        <w:tc>
          <w:tcPr>
            <w:tcW w:w="3977" w:type="dxa"/>
          </w:tcPr>
          <w:p w14:paraId="34204E93" w14:textId="560F7B1D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القانون الجزائري</w:t>
            </w:r>
          </w:p>
        </w:tc>
        <w:tc>
          <w:tcPr>
            <w:tcW w:w="2554" w:type="dxa"/>
            <w:gridSpan w:val="2"/>
          </w:tcPr>
          <w:p w14:paraId="5673227C" w14:textId="54A0C4D8" w:rsidR="009508F3" w:rsidRPr="009508F3" w:rsidRDefault="0073743E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المادة</w:t>
            </w:r>
            <w:r w:rsidR="009508F3"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13 </w:t>
            </w:r>
            <w:r w:rsid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قانون مدني</w:t>
            </w:r>
          </w:p>
        </w:tc>
      </w:tr>
      <w:tr w:rsidR="009508F3" w14:paraId="76153C51" w14:textId="77777777" w:rsidTr="0073743E">
        <w:trPr>
          <w:trHeight w:val="574"/>
        </w:trPr>
        <w:tc>
          <w:tcPr>
            <w:tcW w:w="2549" w:type="dxa"/>
          </w:tcPr>
          <w:p w14:paraId="61251ED7" w14:textId="0C37A03E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النسب</w:t>
            </w:r>
          </w:p>
        </w:tc>
        <w:tc>
          <w:tcPr>
            <w:tcW w:w="3977" w:type="dxa"/>
          </w:tcPr>
          <w:p w14:paraId="681CF7A5" w14:textId="12BF3C01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القانون الجزائري </w:t>
            </w:r>
          </w:p>
        </w:tc>
        <w:tc>
          <w:tcPr>
            <w:tcW w:w="2554" w:type="dxa"/>
            <w:gridSpan w:val="2"/>
          </w:tcPr>
          <w:p w14:paraId="3A55511B" w14:textId="323196CB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المادة</w:t>
            </w:r>
            <w:r w:rsidR="00EA279F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:</w:t>
            </w: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13 مكرر قانون مدني</w:t>
            </w:r>
          </w:p>
        </w:tc>
      </w:tr>
      <w:tr w:rsidR="009508F3" w14:paraId="1C82DE43" w14:textId="77777777" w:rsidTr="0073743E">
        <w:trPr>
          <w:trHeight w:val="574"/>
        </w:trPr>
        <w:tc>
          <w:tcPr>
            <w:tcW w:w="2549" w:type="dxa"/>
          </w:tcPr>
          <w:p w14:paraId="27B7E284" w14:textId="051D2BD1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الوصية</w:t>
            </w:r>
          </w:p>
        </w:tc>
        <w:tc>
          <w:tcPr>
            <w:tcW w:w="3977" w:type="dxa"/>
          </w:tcPr>
          <w:p w14:paraId="5479BBCB" w14:textId="60EDF216" w:rsidR="009508F3" w:rsidRPr="009508F3" w:rsidRDefault="0073743E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الجانب الموضوعي للوصية يخضع لل</w:t>
            </w:r>
            <w:r w:rsidR="009508F3"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قانون الجزائري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، بينما تخضع في جانبها الشكلي للقانون الفرنسي. </w:t>
            </w:r>
          </w:p>
        </w:tc>
        <w:tc>
          <w:tcPr>
            <w:tcW w:w="2554" w:type="dxa"/>
            <w:gridSpan w:val="2"/>
          </w:tcPr>
          <w:p w14:paraId="2B21CEB7" w14:textId="3B75D322" w:rsid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المادة </w:t>
            </w:r>
            <w:r w:rsidR="00EA279F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:</w:t>
            </w: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16 قانون المدني</w:t>
            </w:r>
          </w:p>
          <w:p w14:paraId="5D262C6B" w14:textId="2334CBA9" w:rsidR="0073743E" w:rsidRPr="009508F3" w:rsidRDefault="0073743E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المادة</w:t>
            </w:r>
            <w:r w:rsidR="00EA279F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: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19 قانون مدني</w:t>
            </w:r>
          </w:p>
        </w:tc>
      </w:tr>
      <w:tr w:rsidR="009508F3" w14:paraId="28C24F39" w14:textId="77777777" w:rsidTr="0073743E">
        <w:trPr>
          <w:trHeight w:val="574"/>
        </w:trPr>
        <w:tc>
          <w:tcPr>
            <w:tcW w:w="2549" w:type="dxa"/>
          </w:tcPr>
          <w:p w14:paraId="63957E90" w14:textId="71253E8A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الطلاق</w:t>
            </w:r>
          </w:p>
        </w:tc>
        <w:tc>
          <w:tcPr>
            <w:tcW w:w="3977" w:type="dxa"/>
          </w:tcPr>
          <w:p w14:paraId="79254C6D" w14:textId="50006347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القانون الجزائري</w:t>
            </w:r>
          </w:p>
        </w:tc>
        <w:tc>
          <w:tcPr>
            <w:tcW w:w="2554" w:type="dxa"/>
            <w:gridSpan w:val="2"/>
          </w:tcPr>
          <w:p w14:paraId="26F1E3F1" w14:textId="5E880500" w:rsidR="009508F3" w:rsidRPr="009508F3" w:rsidRDefault="009508F3" w:rsidP="0073743E">
            <w:pPr>
              <w:bidi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المادة </w:t>
            </w:r>
            <w:r w:rsidR="00EA279F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:</w:t>
            </w:r>
            <w:r w:rsidRPr="009508F3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13 قانون مدني</w:t>
            </w:r>
          </w:p>
        </w:tc>
      </w:tr>
      <w:tr w:rsidR="0073743E" w14:paraId="4D54A157" w14:textId="20468CDF" w:rsidTr="0073743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00"/>
        </w:trPr>
        <w:tc>
          <w:tcPr>
            <w:tcW w:w="2549" w:type="dxa"/>
          </w:tcPr>
          <w:p w14:paraId="7DF579F5" w14:textId="5F0681AD" w:rsidR="0073743E" w:rsidRPr="0073743E" w:rsidRDefault="0073743E" w:rsidP="0073743E">
            <w:pPr>
              <w:bidi/>
              <w:ind w:left="-5"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الهبة </w:t>
            </w:r>
          </w:p>
        </w:tc>
        <w:tc>
          <w:tcPr>
            <w:tcW w:w="3990" w:type="dxa"/>
            <w:gridSpan w:val="2"/>
          </w:tcPr>
          <w:p w14:paraId="15290E0C" w14:textId="43E9ADD2" w:rsidR="0073743E" w:rsidRPr="0073743E" w:rsidRDefault="0073743E" w:rsidP="0073743E">
            <w:pPr>
              <w:bidi/>
              <w:ind w:left="-5"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تخضع للقانون</w:t>
            </w:r>
            <w:r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الجزائري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شكلا وضمونا</w:t>
            </w:r>
          </w:p>
        </w:tc>
        <w:tc>
          <w:tcPr>
            <w:tcW w:w="2541" w:type="dxa"/>
          </w:tcPr>
          <w:p w14:paraId="4D971C21" w14:textId="3D2CFC34" w:rsidR="0073743E" w:rsidRPr="0073743E" w:rsidRDefault="00EA279F" w:rsidP="0073743E">
            <w:pPr>
              <w:bidi/>
              <w:ind w:left="-5"/>
              <w:jc w:val="mediumKashida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المواد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:</w:t>
            </w:r>
            <w:r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776</w:t>
            </w:r>
            <w:r w:rsid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،</w:t>
            </w:r>
            <w:r w:rsidR="0073743E"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</w:t>
            </w:r>
            <w:r w:rsid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16و 19</w:t>
            </w:r>
            <w:r w:rsidR="0073743E" w:rsidRPr="0073743E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قانون مدني</w:t>
            </w:r>
          </w:p>
        </w:tc>
      </w:tr>
      <w:bookmarkEnd w:id="3"/>
    </w:tbl>
    <w:p w14:paraId="4039B74A" w14:textId="77777777" w:rsidR="00EA279F" w:rsidRDefault="00EA279F" w:rsidP="00B67616">
      <w:pPr>
        <w:bidi/>
        <w:jc w:val="mediumKashida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14:paraId="1C61CE52" w14:textId="38CD95C5" w:rsidR="00B67616" w:rsidRDefault="00EA279F" w:rsidP="00EA279F">
      <w:pPr>
        <w:bidi/>
        <w:jc w:val="mediumKashida"/>
        <w:rPr>
          <w:rFonts w:ascii="Sakkal Majalla" w:hAnsi="Sakkal Majalla" w:cs="Sakkal Majalla"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>الإجابة على ا</w:t>
      </w:r>
      <w:r w:rsidR="00B67616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لسؤال الثالث:</w:t>
      </w:r>
      <w:r w:rsidR="00B67616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( 6ن) </w:t>
      </w:r>
    </w:p>
    <w:p w14:paraId="6F34E851" w14:textId="7FF47658" w:rsidR="00B67616" w:rsidRDefault="00EA279F" w:rsidP="00B67616">
      <w:pPr>
        <w:bidi/>
        <w:jc w:val="mediumKashida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تتعدد الحالات التي</w:t>
      </w:r>
      <w:r w:rsidR="00B6761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يطبق فيها القانون الجزائري بدلا عن القانون الأجنبي المختص بموجب قواعد الاسناد الوطنية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يكتفى ب</w:t>
      </w:r>
      <w:r w:rsidR="00DD4E7A">
        <w:rPr>
          <w:rFonts w:ascii="Sakkal Majalla" w:hAnsi="Sakkal Majalla" w:cs="Sakkal Majalla" w:hint="cs"/>
          <w:sz w:val="32"/>
          <w:szCs w:val="32"/>
          <w:rtl/>
          <w:lang w:bidi="ar-DZ"/>
        </w:rPr>
        <w:t>ذ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كر أربع حالات فقط تقيدا بنص السؤال</w:t>
      </w:r>
      <w:r w:rsidR="00DD4E7A">
        <w:rPr>
          <w:rFonts w:ascii="Sakkal Majalla" w:hAnsi="Sakkal Majalla" w:cs="Sakkal Majalla" w:hint="cs"/>
          <w:sz w:val="32"/>
          <w:szCs w:val="32"/>
          <w:rtl/>
          <w:lang w:bidi="ar-DZ"/>
        </w:rPr>
        <w:t>، ويمكن في ه</w:t>
      </w:r>
      <w:r w:rsidR="000035A5">
        <w:rPr>
          <w:rFonts w:ascii="Sakkal Majalla" w:hAnsi="Sakkal Majalla" w:cs="Sakkal Majalla" w:hint="cs"/>
          <w:sz w:val="32"/>
          <w:szCs w:val="32"/>
          <w:rtl/>
          <w:lang w:bidi="ar-DZ"/>
        </w:rPr>
        <w:t>ذ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ا</w:t>
      </w:r>
      <w:r w:rsidR="00DD4E7A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الصدد 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ايراد الامثلة</w:t>
      </w:r>
      <w:r w:rsidR="00DD4E7A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الاتية:</w:t>
      </w:r>
    </w:p>
    <w:p w14:paraId="61A9BFB9" w14:textId="606D052E" w:rsidR="00DD4E7A" w:rsidRDefault="00DD4E7A" w:rsidP="00DD4E7A">
      <w:pPr>
        <w:pStyle w:val="Paragraphedeliste"/>
        <w:numPr>
          <w:ilvl w:val="0"/>
          <w:numId w:val="1"/>
        </w:numPr>
        <w:bidi/>
        <w:jc w:val="mediumKashida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حالة تعارض القانون الأجنبي مع النظام العام او </w:t>
      </w:r>
      <w:r w:rsidR="000035A5">
        <w:rPr>
          <w:rFonts w:ascii="Sakkal Majalla" w:hAnsi="Sakkal Majalla" w:cs="Sakkal Majalla" w:hint="cs"/>
          <w:sz w:val="32"/>
          <w:szCs w:val="32"/>
          <w:rtl/>
          <w:lang w:bidi="ar-DZ"/>
        </w:rPr>
        <w:t>الآداب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العامة، المادة 24 قانون مدني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</w:p>
    <w:p w14:paraId="5A09315F" w14:textId="03304C55" w:rsidR="00DD4E7A" w:rsidRDefault="000035A5" w:rsidP="00DD4E7A">
      <w:pPr>
        <w:pStyle w:val="Paragraphedeliste"/>
        <w:numPr>
          <w:ilvl w:val="0"/>
          <w:numId w:val="1"/>
        </w:numPr>
        <w:bidi/>
        <w:jc w:val="mediumKashida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حالة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انعقاد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الزواج المختلط 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ن كان 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أحد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الزوجين جزائري المادة 13 قانون مدني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</w:p>
    <w:p w14:paraId="669DE215" w14:textId="4379FA03" w:rsidR="000035A5" w:rsidRDefault="000035A5" w:rsidP="000035A5">
      <w:pPr>
        <w:pStyle w:val="Paragraphedeliste"/>
        <w:numPr>
          <w:ilvl w:val="0"/>
          <w:numId w:val="1"/>
        </w:numPr>
        <w:bidi/>
        <w:jc w:val="mediumKashida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اثار الزواج المختلط ان كان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ت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الزوجة جزائرية وقت انعقا</w:t>
      </w:r>
      <w:r w:rsidR="00387B50">
        <w:rPr>
          <w:rFonts w:ascii="Sakkal Majalla" w:hAnsi="Sakkal Majalla" w:cs="Sakkal Majalla" w:hint="eastAsia"/>
          <w:sz w:val="32"/>
          <w:szCs w:val="32"/>
          <w:rtl/>
          <w:lang w:bidi="ar-DZ"/>
        </w:rPr>
        <w:t>د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الزواج 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المادة 13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قانون مدني.</w:t>
      </w:r>
    </w:p>
    <w:p w14:paraId="469A347C" w14:textId="5FE1C46E" w:rsidR="000035A5" w:rsidRDefault="000035A5" w:rsidP="000035A5">
      <w:pPr>
        <w:pStyle w:val="Paragraphedeliste"/>
        <w:numPr>
          <w:ilvl w:val="0"/>
          <w:numId w:val="1"/>
        </w:numPr>
        <w:bidi/>
        <w:jc w:val="mediumKashida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انحلال الزواج المختلط </w:t>
      </w:r>
      <w:bookmarkStart w:id="4" w:name="_Hlk157278613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ان كان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ت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الزوجة جزائرية وقت انعقا</w:t>
      </w:r>
      <w:r w:rsidR="00387B50">
        <w:rPr>
          <w:rFonts w:ascii="Sakkal Majalla" w:hAnsi="Sakkal Majalla" w:cs="Sakkal Majalla" w:hint="eastAsia"/>
          <w:sz w:val="32"/>
          <w:szCs w:val="32"/>
          <w:rtl/>
          <w:lang w:bidi="ar-DZ"/>
        </w:rPr>
        <w:t>د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الزواج </w:t>
      </w:r>
      <w:bookmarkEnd w:id="4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المادة 13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قانون مدني.</w:t>
      </w:r>
    </w:p>
    <w:p w14:paraId="4AED681B" w14:textId="1C481E25" w:rsidR="000035A5" w:rsidRPr="00DD4E7A" w:rsidRDefault="000035A5" w:rsidP="000035A5">
      <w:pPr>
        <w:pStyle w:val="Paragraphedeliste"/>
        <w:numPr>
          <w:ilvl w:val="0"/>
          <w:numId w:val="1"/>
        </w:numPr>
        <w:bidi/>
        <w:jc w:val="mediumKashida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تعذر اثبات القانون الأجنبي المختص بموجب قواعد الاسناد الوطنية</w:t>
      </w:r>
      <w:r w:rsidR="00387B50">
        <w:rPr>
          <w:rFonts w:ascii="Sakkal Majalla" w:hAnsi="Sakkal Majalla" w:cs="Sakkal Majalla" w:hint="cs"/>
          <w:sz w:val="32"/>
          <w:szCs w:val="32"/>
          <w:rtl/>
          <w:lang w:bidi="ar-DZ"/>
        </w:rPr>
        <w:t>، المادة 23 مكرر قانون مدني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</w:p>
    <w:p w14:paraId="5BC16508" w14:textId="77777777" w:rsidR="00B67616" w:rsidRDefault="00B67616" w:rsidP="00B67616">
      <w:pPr>
        <w:bidi/>
        <w:jc w:val="mediumKashida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14:paraId="254DDC9E" w14:textId="77777777" w:rsidR="00B67616" w:rsidRDefault="00B67616" w:rsidP="00B67616">
      <w:pPr>
        <w:bidi/>
        <w:jc w:val="mediumKashida"/>
        <w:rPr>
          <w:rFonts w:ascii="Sakkal Majalla" w:hAnsi="Sakkal Majalla" w:cs="Sakkal Majalla"/>
          <w:sz w:val="36"/>
          <w:szCs w:val="36"/>
          <w:rtl/>
          <w:lang w:bidi="ar-DZ"/>
        </w:rPr>
      </w:pPr>
    </w:p>
    <w:p w14:paraId="371564C7" w14:textId="6F786F1C" w:rsidR="00B67616" w:rsidRDefault="00B67616" w:rsidP="00B67616">
      <w:pPr>
        <w:bidi/>
        <w:jc w:val="right"/>
        <w:rPr>
          <w:rFonts w:ascii="Sakkal Majalla" w:hAnsi="Sakkal Majalla" w:cs="Sakkal Majalla"/>
          <w:sz w:val="52"/>
          <w:szCs w:val="52"/>
          <w:rtl/>
          <w:lang w:bidi="ar-DZ"/>
        </w:rPr>
      </w:pPr>
      <w:r>
        <w:rPr>
          <w:rFonts w:ascii="Sakkal Majalla" w:hAnsi="Sakkal Majalla" w:cs="Sakkal Majalla"/>
          <w:sz w:val="52"/>
          <w:szCs w:val="52"/>
          <w:rtl/>
          <w:lang w:bidi="ar-DZ"/>
        </w:rPr>
        <w:t xml:space="preserve">                                           </w:t>
      </w:r>
      <w:r>
        <w:rPr>
          <w:rFonts w:ascii="Sakkal Majalla" w:hAnsi="Sakkal Majalla" w:cs="Sakkal Majalla"/>
          <w:sz w:val="36"/>
          <w:szCs w:val="36"/>
          <w:rtl/>
          <w:lang w:bidi="ar-DZ"/>
        </w:rPr>
        <w:t xml:space="preserve">   </w:t>
      </w:r>
    </w:p>
    <w:p w14:paraId="4AC7F5CB" w14:textId="77777777" w:rsidR="00B67616" w:rsidRDefault="00B67616" w:rsidP="00B67616">
      <w:pPr>
        <w:bidi/>
      </w:pPr>
    </w:p>
    <w:p w14:paraId="72D54078" w14:textId="77777777" w:rsidR="00127A9D" w:rsidRDefault="00127A9D" w:rsidP="00B67616">
      <w:pPr>
        <w:bidi/>
      </w:pPr>
    </w:p>
    <w:sectPr w:rsidR="00127A9D" w:rsidSect="0092569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23986"/>
    <w:multiLevelType w:val="hybridMultilevel"/>
    <w:tmpl w:val="4EE4D0AC"/>
    <w:lvl w:ilvl="0" w:tplc="CFF208B4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86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16"/>
    <w:rsid w:val="000035A5"/>
    <w:rsid w:val="00017281"/>
    <w:rsid w:val="000C6CAE"/>
    <w:rsid w:val="00127A9D"/>
    <w:rsid w:val="00387B50"/>
    <w:rsid w:val="004E0B63"/>
    <w:rsid w:val="0073743E"/>
    <w:rsid w:val="00774D16"/>
    <w:rsid w:val="00925694"/>
    <w:rsid w:val="0092652C"/>
    <w:rsid w:val="009508F3"/>
    <w:rsid w:val="009A5100"/>
    <w:rsid w:val="00B67616"/>
    <w:rsid w:val="00D42DFC"/>
    <w:rsid w:val="00DD4E7A"/>
    <w:rsid w:val="00EA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D7D"/>
  <w15:chartTrackingRefBased/>
  <w15:docId w15:val="{35408049-A924-4836-84F6-0CF0A24B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6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676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95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CRISTAL</dc:creator>
  <cp:keywords/>
  <dc:description/>
  <cp:lastModifiedBy>CRISTAL</cp:lastModifiedBy>
  <cp:revision>6</cp:revision>
  <dcterms:created xsi:type="dcterms:W3CDTF">2024-01-27T16:20:00Z</dcterms:created>
  <dcterms:modified xsi:type="dcterms:W3CDTF">2024-01-27T19:20:00Z</dcterms:modified>
</cp:coreProperties>
</file>